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005" w:type="dxa"/>
        <w:tblCellSpacing w:w="0" w:type="dxa"/>
        <w:tblCellMar>
          <w:left w:w="0" w:type="dxa"/>
          <w:right w:w="0" w:type="dxa"/>
        </w:tblCellMar>
        <w:tblLook w:val="04A0"/>
      </w:tblPr>
      <w:tblGrid>
        <w:gridCol w:w="7005"/>
      </w:tblGrid>
      <w:tr w:rsidR="00C06401" w:rsidRPr="00C06401" w:rsidTr="00C06401">
        <w:trPr>
          <w:tblCellSpacing w:w="0" w:type="dxa"/>
        </w:trPr>
        <w:tc>
          <w:tcPr>
            <w:tcW w:w="0" w:type="auto"/>
            <w:vAlign w:val="center"/>
            <w:hideMark/>
          </w:tcPr>
          <w:p w:rsidR="00C06401" w:rsidRPr="00C06401" w:rsidRDefault="00C06401" w:rsidP="00C06401">
            <w:pPr>
              <w:spacing w:after="0" w:line="240" w:lineRule="auto"/>
              <w:rPr>
                <w:rFonts w:ascii="Arial" w:eastAsia="Times New Roman" w:hAnsi="Arial" w:cs="Arial"/>
                <w:b/>
                <w:bCs/>
                <w:color w:val="808285"/>
                <w:sz w:val="19"/>
                <w:szCs w:val="19"/>
                <w:lang w:eastAsia="hr-HR"/>
              </w:rPr>
            </w:pPr>
            <w:r w:rsidRPr="00C06401">
              <w:rPr>
                <w:rFonts w:ascii="Arial" w:eastAsia="Times New Roman" w:hAnsi="Arial" w:cs="Arial"/>
                <w:b/>
                <w:bCs/>
                <w:color w:val="808285"/>
                <w:sz w:val="19"/>
                <w:szCs w:val="19"/>
                <w:lang w:eastAsia="hr-HR"/>
              </w:rPr>
              <w:t>Poziv na natječaj za vanjske ocjenjivače projektnih prijava za aktivnosti unutar potprograma Comenius Programa za cjeloživotno učenje</w:t>
            </w:r>
          </w:p>
        </w:tc>
      </w:tr>
      <w:tr w:rsidR="00C06401" w:rsidRPr="00C06401" w:rsidTr="00C06401">
        <w:trPr>
          <w:trHeight w:val="285"/>
          <w:tblCellSpacing w:w="0" w:type="dxa"/>
        </w:trPr>
        <w:tc>
          <w:tcPr>
            <w:tcW w:w="0" w:type="auto"/>
            <w:vAlign w:val="center"/>
            <w:hideMark/>
          </w:tcPr>
          <w:p w:rsidR="00C06401" w:rsidRPr="00C06401" w:rsidRDefault="00C06401" w:rsidP="00C06401">
            <w:pPr>
              <w:spacing w:after="0" w:line="240" w:lineRule="auto"/>
              <w:rPr>
                <w:rFonts w:ascii="Arial" w:eastAsia="Times New Roman" w:hAnsi="Arial" w:cs="Arial"/>
                <w:sz w:val="16"/>
                <w:szCs w:val="16"/>
                <w:lang w:eastAsia="hr-HR"/>
              </w:rPr>
            </w:pPr>
            <w:r w:rsidRPr="00C06401">
              <w:rPr>
                <w:rFonts w:ascii="Arial" w:eastAsia="Times New Roman" w:hAnsi="Arial" w:cs="Arial"/>
                <w:sz w:val="16"/>
                <w:szCs w:val="16"/>
                <w:lang w:eastAsia="hr-HR"/>
              </w:rPr>
              <w:t> </w:t>
            </w:r>
          </w:p>
        </w:tc>
      </w:tr>
      <w:tr w:rsidR="00C06401" w:rsidRPr="00C06401" w:rsidTr="00C06401">
        <w:trPr>
          <w:tblCellSpacing w:w="0" w:type="dxa"/>
        </w:trPr>
        <w:tc>
          <w:tcPr>
            <w:tcW w:w="0" w:type="auto"/>
            <w:vAlign w:val="center"/>
            <w:hideMark/>
          </w:tcPr>
          <w:p w:rsidR="00C06401" w:rsidRPr="00C06401" w:rsidRDefault="00C06401" w:rsidP="00C06401">
            <w:pPr>
              <w:spacing w:before="100" w:beforeAutospacing="1" w:after="100" w:afterAutospacing="1" w:line="240" w:lineRule="auto"/>
              <w:rPr>
                <w:rFonts w:ascii="Arial" w:eastAsia="Times New Roman" w:hAnsi="Arial" w:cs="Arial"/>
                <w:color w:val="808285"/>
                <w:sz w:val="16"/>
                <w:szCs w:val="16"/>
                <w:lang w:eastAsia="hr-HR"/>
              </w:rPr>
            </w:pPr>
            <w:r w:rsidRPr="00C06401">
              <w:rPr>
                <w:rFonts w:ascii="Arial" w:eastAsia="Times New Roman" w:hAnsi="Arial" w:cs="Arial"/>
                <w:color w:val="808285"/>
                <w:sz w:val="16"/>
                <w:szCs w:val="16"/>
                <w:lang w:eastAsia="hr-HR"/>
              </w:rPr>
              <w:t xml:space="preserve">Agencija za mobilnost i programe EU raspisuje natječaj za vanjske ocjenjivače na području predškolskog i općeg školskog obrazovanja u svrhu ocjenjivanja projektnih prijava za Comenius aktivnosti (bilateralna, multilateralna i Regio partnerstva, stručna usavršavanja, pripremni posjeti, Comenius asistenti, itd.). </w:t>
            </w:r>
            <w:r w:rsidRPr="00C06401">
              <w:rPr>
                <w:rFonts w:ascii="Arial" w:eastAsia="Times New Roman" w:hAnsi="Arial" w:cs="Arial"/>
                <w:color w:val="808285"/>
                <w:sz w:val="16"/>
                <w:szCs w:val="16"/>
                <w:lang w:eastAsia="hr-HR"/>
              </w:rPr>
              <w:br/>
              <w:t xml:space="preserve">Vanjski ocjenjivači sudjeluju u ocjenjivanju kvalitete pristiglih prijava, što čini dio postupka donošenja odluke o dodjeli financijske potpore - granta - za prijavljeni projekt. Stoga su znanje i kompetencije vanjskog ocjenjivača iznimno važni jer, ocjenjujući projektnu prijavu oni neminovno utječu na uspjeh projekta. </w:t>
            </w:r>
            <w:r w:rsidRPr="00C06401">
              <w:rPr>
                <w:rFonts w:ascii="Arial" w:eastAsia="Times New Roman" w:hAnsi="Arial" w:cs="Arial"/>
                <w:color w:val="808285"/>
                <w:sz w:val="16"/>
                <w:szCs w:val="16"/>
                <w:lang w:eastAsia="hr-HR"/>
              </w:rPr>
              <w:br/>
              <w:t xml:space="preserve">Svi vanjski ocjenjivači prije početka rada dužni su potpisati Izjavu o sprječavanju sukoba interesa te upozoriti na bilo koji potencijalni ili stvarni sukob interesa u kojem se mogu naći. </w:t>
            </w:r>
            <w:r w:rsidRPr="00C06401">
              <w:rPr>
                <w:rFonts w:ascii="Arial" w:eastAsia="Times New Roman" w:hAnsi="Arial" w:cs="Arial"/>
                <w:color w:val="808285"/>
                <w:sz w:val="16"/>
                <w:szCs w:val="16"/>
                <w:lang w:eastAsia="hr-HR"/>
              </w:rPr>
              <w:br/>
              <w:t>Sukob interesa postoji kada je nepristrano i objektivno djelovanje stručnjaka dovedeno u pitanje zbog obiteljske, emocionalne, političke ili nacionalne pristranosti, materijalnog interesa ili bilo kakvog drugog interesa povezanog s prijaviteljem na Poziv na natječaj za Comenius aktivnosti.</w:t>
            </w:r>
          </w:p>
          <w:p w:rsidR="00C06401" w:rsidRPr="00C06401" w:rsidRDefault="00C06401" w:rsidP="00C06401">
            <w:pPr>
              <w:spacing w:before="100" w:beforeAutospacing="1" w:after="100" w:afterAutospacing="1" w:line="240" w:lineRule="auto"/>
              <w:rPr>
                <w:rFonts w:ascii="Arial" w:eastAsia="Times New Roman" w:hAnsi="Arial" w:cs="Arial"/>
                <w:color w:val="808285"/>
                <w:sz w:val="16"/>
                <w:szCs w:val="16"/>
                <w:lang w:eastAsia="hr-HR"/>
              </w:rPr>
            </w:pPr>
            <w:r w:rsidRPr="00C06401">
              <w:rPr>
                <w:rFonts w:ascii="Arial" w:eastAsia="Times New Roman" w:hAnsi="Arial" w:cs="Arial"/>
                <w:b/>
                <w:bCs/>
                <w:color w:val="808285"/>
                <w:sz w:val="16"/>
                <w:lang w:eastAsia="hr-HR"/>
              </w:rPr>
              <w:t>Tko može biti vanjski ocjenjivač projektnih prijava?</w:t>
            </w:r>
          </w:p>
          <w:p w:rsidR="00C06401" w:rsidRPr="00C06401" w:rsidRDefault="00C06401" w:rsidP="00C06401">
            <w:pPr>
              <w:spacing w:before="100" w:beforeAutospacing="1" w:after="100" w:afterAutospacing="1" w:line="240" w:lineRule="auto"/>
              <w:rPr>
                <w:rFonts w:ascii="Arial" w:eastAsia="Times New Roman" w:hAnsi="Arial" w:cs="Arial"/>
                <w:color w:val="808285"/>
                <w:sz w:val="16"/>
                <w:szCs w:val="16"/>
                <w:lang w:eastAsia="hr-HR"/>
              </w:rPr>
            </w:pPr>
            <w:r w:rsidRPr="00C06401">
              <w:rPr>
                <w:rFonts w:ascii="Arial" w:eastAsia="Times New Roman" w:hAnsi="Arial" w:cs="Arial"/>
                <w:color w:val="808285"/>
                <w:sz w:val="16"/>
                <w:szCs w:val="16"/>
                <w:lang w:eastAsia="hr-HR"/>
              </w:rPr>
              <w:t>Profil vanjskog stručnjaka</w:t>
            </w:r>
            <w:r w:rsidRPr="00C06401">
              <w:rPr>
                <w:rFonts w:ascii="Arial" w:eastAsia="Times New Roman" w:hAnsi="Arial" w:cs="Arial"/>
                <w:color w:val="808285"/>
                <w:sz w:val="16"/>
                <w:szCs w:val="16"/>
                <w:lang w:eastAsia="hr-HR"/>
              </w:rPr>
              <w:br/>
              <w:t>Vanjski ocjenjivači mogu biti:</w:t>
            </w:r>
          </w:p>
          <w:p w:rsidR="00C06401" w:rsidRPr="00C06401" w:rsidRDefault="00C06401" w:rsidP="00C06401">
            <w:pPr>
              <w:numPr>
                <w:ilvl w:val="0"/>
                <w:numId w:val="1"/>
              </w:numPr>
              <w:spacing w:after="0" w:line="240" w:lineRule="auto"/>
              <w:ind w:left="68"/>
              <w:rPr>
                <w:rFonts w:ascii="Arial" w:eastAsia="Times New Roman" w:hAnsi="Arial" w:cs="Arial"/>
                <w:color w:val="808285"/>
                <w:sz w:val="16"/>
                <w:szCs w:val="16"/>
                <w:lang w:eastAsia="hr-HR"/>
              </w:rPr>
            </w:pPr>
            <w:r w:rsidRPr="00C06401">
              <w:rPr>
                <w:rFonts w:ascii="Arial" w:eastAsia="Times New Roman" w:hAnsi="Arial" w:cs="Arial"/>
                <w:color w:val="808285"/>
                <w:sz w:val="16"/>
                <w:szCs w:val="16"/>
                <w:lang w:eastAsia="hr-HR"/>
              </w:rPr>
              <w:t>Zaposlene ili nezaposlene osobe s iskustvom rada u području stručnog usavršavanja nastavnog ili nenastavnog osoblja</w:t>
            </w:r>
          </w:p>
          <w:p w:rsidR="00C06401" w:rsidRPr="00C06401" w:rsidRDefault="00C06401" w:rsidP="00C06401">
            <w:pPr>
              <w:numPr>
                <w:ilvl w:val="0"/>
                <w:numId w:val="1"/>
              </w:numPr>
              <w:spacing w:after="0" w:line="240" w:lineRule="auto"/>
              <w:ind w:left="68"/>
              <w:rPr>
                <w:rFonts w:ascii="Arial" w:eastAsia="Times New Roman" w:hAnsi="Arial" w:cs="Arial"/>
                <w:color w:val="808285"/>
                <w:sz w:val="16"/>
                <w:szCs w:val="16"/>
                <w:lang w:eastAsia="hr-HR"/>
              </w:rPr>
            </w:pPr>
            <w:r w:rsidRPr="00C06401">
              <w:rPr>
                <w:rFonts w:ascii="Arial" w:eastAsia="Times New Roman" w:hAnsi="Arial" w:cs="Arial"/>
                <w:color w:val="808285"/>
                <w:sz w:val="16"/>
                <w:szCs w:val="16"/>
                <w:lang w:eastAsia="hr-HR"/>
              </w:rPr>
              <w:t>Zaposlene ili nezaposlene osobe s iskustvom rada u području obrazovnih politika i strategija</w:t>
            </w:r>
          </w:p>
          <w:p w:rsidR="00C06401" w:rsidRPr="00C06401" w:rsidRDefault="00C06401" w:rsidP="00C06401">
            <w:pPr>
              <w:numPr>
                <w:ilvl w:val="0"/>
                <w:numId w:val="1"/>
              </w:numPr>
              <w:spacing w:after="0" w:line="240" w:lineRule="auto"/>
              <w:ind w:left="68"/>
              <w:rPr>
                <w:rFonts w:ascii="Arial" w:eastAsia="Times New Roman" w:hAnsi="Arial" w:cs="Arial"/>
                <w:color w:val="808285"/>
                <w:sz w:val="16"/>
                <w:szCs w:val="16"/>
                <w:lang w:eastAsia="hr-HR"/>
              </w:rPr>
            </w:pPr>
            <w:r w:rsidRPr="00C06401">
              <w:rPr>
                <w:rFonts w:ascii="Arial" w:eastAsia="Times New Roman" w:hAnsi="Arial" w:cs="Arial"/>
                <w:color w:val="808285"/>
                <w:sz w:val="16"/>
                <w:szCs w:val="16"/>
                <w:lang w:eastAsia="hr-HR"/>
              </w:rPr>
              <w:t>Osobe koje su uključene u nadzor nad radom Agencije za mobilnost i programe EU</w:t>
            </w:r>
          </w:p>
          <w:p w:rsidR="00C06401" w:rsidRPr="00C06401" w:rsidRDefault="00C06401" w:rsidP="00C06401">
            <w:pPr>
              <w:spacing w:before="100" w:beforeAutospacing="1" w:after="100" w:afterAutospacing="1" w:line="240" w:lineRule="auto"/>
              <w:rPr>
                <w:rFonts w:ascii="Arial" w:eastAsia="Times New Roman" w:hAnsi="Arial" w:cs="Arial"/>
                <w:color w:val="808285"/>
                <w:sz w:val="16"/>
                <w:szCs w:val="16"/>
                <w:lang w:eastAsia="hr-HR"/>
              </w:rPr>
            </w:pPr>
            <w:r w:rsidRPr="00C06401">
              <w:rPr>
                <w:rFonts w:ascii="Arial" w:eastAsia="Times New Roman" w:hAnsi="Arial" w:cs="Arial"/>
                <w:color w:val="808285"/>
                <w:sz w:val="16"/>
                <w:szCs w:val="16"/>
                <w:lang w:eastAsia="hr-HR"/>
              </w:rPr>
              <w:t>Vanjski ocjenjivači ne mogu biti osobe zaposlene u odgojno-obrazovnim ustanovama. Vanjski ocjenjivači također ne mogu biti osobe koje su se prijavile/planiraju se prijaviti za Natječaj za Comenius aktivnosti u 2010.g., kao ni osobe koje pomažu u pripremi takve prijave.</w:t>
            </w:r>
          </w:p>
          <w:p w:rsidR="00C06401" w:rsidRPr="00C06401" w:rsidRDefault="00C06401" w:rsidP="00C06401">
            <w:pPr>
              <w:spacing w:before="100" w:beforeAutospacing="1" w:after="100" w:afterAutospacing="1" w:line="240" w:lineRule="auto"/>
              <w:rPr>
                <w:rFonts w:ascii="Arial" w:eastAsia="Times New Roman" w:hAnsi="Arial" w:cs="Arial"/>
                <w:color w:val="808285"/>
                <w:sz w:val="16"/>
                <w:szCs w:val="16"/>
                <w:lang w:eastAsia="hr-HR"/>
              </w:rPr>
            </w:pPr>
            <w:r w:rsidRPr="00C06401">
              <w:rPr>
                <w:rFonts w:ascii="Arial" w:eastAsia="Times New Roman" w:hAnsi="Arial" w:cs="Arial"/>
                <w:b/>
                <w:bCs/>
                <w:color w:val="808285"/>
                <w:sz w:val="16"/>
                <w:lang w:eastAsia="hr-HR"/>
              </w:rPr>
              <w:t>Vanjski ocjenjivači moraju neke od sljedećih kompetencija:</w:t>
            </w:r>
          </w:p>
          <w:p w:rsidR="00C06401" w:rsidRPr="00C06401" w:rsidRDefault="00C06401" w:rsidP="00C06401">
            <w:pPr>
              <w:numPr>
                <w:ilvl w:val="0"/>
                <w:numId w:val="2"/>
              </w:numPr>
              <w:spacing w:after="0" w:line="240" w:lineRule="auto"/>
              <w:ind w:left="68"/>
              <w:rPr>
                <w:rFonts w:ascii="Arial" w:eastAsia="Times New Roman" w:hAnsi="Arial" w:cs="Arial"/>
                <w:color w:val="808285"/>
                <w:sz w:val="16"/>
                <w:szCs w:val="16"/>
                <w:lang w:eastAsia="hr-HR"/>
              </w:rPr>
            </w:pPr>
            <w:r w:rsidRPr="00C06401">
              <w:rPr>
                <w:rFonts w:ascii="Arial" w:eastAsia="Times New Roman" w:hAnsi="Arial" w:cs="Arial"/>
                <w:color w:val="808285"/>
                <w:sz w:val="16"/>
                <w:szCs w:val="16"/>
                <w:lang w:eastAsia="hr-HR"/>
              </w:rPr>
              <w:t>Iskustvo i znanje vezano uz usvajanje ključnih kompetencija važnih za osobni razvoj, buduću zapošljivost i aktivno europsko građanstvo</w:t>
            </w:r>
          </w:p>
          <w:p w:rsidR="00C06401" w:rsidRPr="00C06401" w:rsidRDefault="00C06401" w:rsidP="00C06401">
            <w:pPr>
              <w:numPr>
                <w:ilvl w:val="0"/>
                <w:numId w:val="2"/>
              </w:numPr>
              <w:spacing w:after="0" w:line="240" w:lineRule="auto"/>
              <w:ind w:left="68"/>
              <w:rPr>
                <w:rFonts w:ascii="Arial" w:eastAsia="Times New Roman" w:hAnsi="Arial" w:cs="Arial"/>
                <w:color w:val="808285"/>
                <w:sz w:val="16"/>
                <w:szCs w:val="16"/>
                <w:lang w:eastAsia="hr-HR"/>
              </w:rPr>
            </w:pPr>
            <w:r w:rsidRPr="00C06401">
              <w:rPr>
                <w:rFonts w:ascii="Arial" w:eastAsia="Times New Roman" w:hAnsi="Arial" w:cs="Arial"/>
                <w:color w:val="808285"/>
                <w:sz w:val="16"/>
                <w:szCs w:val="16"/>
                <w:lang w:eastAsia="hr-HR"/>
              </w:rPr>
              <w:t>Iskustvo i znanje vezano uz osiguranje kvalitete u obrazovanju</w:t>
            </w:r>
          </w:p>
          <w:p w:rsidR="00C06401" w:rsidRPr="00C06401" w:rsidRDefault="00C06401" w:rsidP="00C06401">
            <w:pPr>
              <w:numPr>
                <w:ilvl w:val="0"/>
                <w:numId w:val="2"/>
              </w:numPr>
              <w:spacing w:after="0" w:line="240" w:lineRule="auto"/>
              <w:ind w:left="68"/>
              <w:rPr>
                <w:rFonts w:ascii="Arial" w:eastAsia="Times New Roman" w:hAnsi="Arial" w:cs="Arial"/>
                <w:color w:val="808285"/>
                <w:sz w:val="16"/>
                <w:szCs w:val="16"/>
                <w:lang w:eastAsia="hr-HR"/>
              </w:rPr>
            </w:pPr>
            <w:r w:rsidRPr="00C06401">
              <w:rPr>
                <w:rFonts w:ascii="Arial" w:eastAsia="Times New Roman" w:hAnsi="Arial" w:cs="Arial"/>
                <w:color w:val="808285"/>
                <w:sz w:val="16"/>
                <w:szCs w:val="16"/>
                <w:lang w:eastAsia="hr-HR"/>
              </w:rPr>
              <w:t>Sudjelovanje u kreiranju obrazovnih politika/istraživanja vezanih za obrazovanje i osposobljavanje</w:t>
            </w:r>
          </w:p>
          <w:p w:rsidR="00C06401" w:rsidRPr="00C06401" w:rsidRDefault="00C06401" w:rsidP="00C06401">
            <w:pPr>
              <w:numPr>
                <w:ilvl w:val="0"/>
                <w:numId w:val="2"/>
              </w:numPr>
              <w:spacing w:after="0" w:line="240" w:lineRule="auto"/>
              <w:ind w:left="68"/>
              <w:rPr>
                <w:rFonts w:ascii="Arial" w:eastAsia="Times New Roman" w:hAnsi="Arial" w:cs="Arial"/>
                <w:color w:val="808285"/>
                <w:sz w:val="16"/>
                <w:szCs w:val="16"/>
                <w:lang w:eastAsia="hr-HR"/>
              </w:rPr>
            </w:pPr>
            <w:r w:rsidRPr="00C06401">
              <w:rPr>
                <w:rFonts w:ascii="Arial" w:eastAsia="Times New Roman" w:hAnsi="Arial" w:cs="Arial"/>
                <w:color w:val="808285"/>
                <w:sz w:val="16"/>
                <w:szCs w:val="16"/>
                <w:lang w:eastAsia="hr-HR"/>
              </w:rPr>
              <w:t>Iskustvo u provođenju inovacija u odgoju, školskom obrazovanju i osposobljavanju</w:t>
            </w:r>
          </w:p>
          <w:p w:rsidR="00C06401" w:rsidRPr="00C06401" w:rsidRDefault="00C06401" w:rsidP="00C06401">
            <w:pPr>
              <w:numPr>
                <w:ilvl w:val="0"/>
                <w:numId w:val="2"/>
              </w:numPr>
              <w:spacing w:after="0" w:line="240" w:lineRule="auto"/>
              <w:ind w:left="68"/>
              <w:rPr>
                <w:rFonts w:ascii="Arial" w:eastAsia="Times New Roman" w:hAnsi="Arial" w:cs="Arial"/>
                <w:color w:val="808285"/>
                <w:sz w:val="16"/>
                <w:szCs w:val="16"/>
                <w:lang w:eastAsia="hr-HR"/>
              </w:rPr>
            </w:pPr>
            <w:r w:rsidRPr="00C06401">
              <w:rPr>
                <w:rFonts w:ascii="Arial" w:eastAsia="Times New Roman" w:hAnsi="Arial" w:cs="Arial"/>
                <w:color w:val="808285"/>
                <w:sz w:val="16"/>
                <w:szCs w:val="16"/>
                <w:lang w:eastAsia="hr-HR"/>
              </w:rPr>
              <w:t>Odlično poznavanje engleskog jezika u govoru i pismu</w:t>
            </w:r>
          </w:p>
          <w:p w:rsidR="00C06401" w:rsidRPr="00C06401" w:rsidRDefault="00C06401" w:rsidP="00C06401">
            <w:pPr>
              <w:numPr>
                <w:ilvl w:val="0"/>
                <w:numId w:val="2"/>
              </w:numPr>
              <w:spacing w:after="0" w:line="240" w:lineRule="auto"/>
              <w:ind w:left="68"/>
              <w:rPr>
                <w:rFonts w:ascii="Arial" w:eastAsia="Times New Roman" w:hAnsi="Arial" w:cs="Arial"/>
                <w:color w:val="808285"/>
                <w:sz w:val="16"/>
                <w:szCs w:val="16"/>
                <w:lang w:eastAsia="hr-HR"/>
              </w:rPr>
            </w:pPr>
            <w:r w:rsidRPr="00C06401">
              <w:rPr>
                <w:rFonts w:ascii="Arial" w:eastAsia="Times New Roman" w:hAnsi="Arial" w:cs="Arial"/>
                <w:color w:val="808285"/>
                <w:sz w:val="16"/>
                <w:szCs w:val="16"/>
                <w:lang w:eastAsia="hr-HR"/>
              </w:rPr>
              <w:t>Korištenje računala u radu</w:t>
            </w:r>
          </w:p>
          <w:p w:rsidR="00C06401" w:rsidRPr="00C06401" w:rsidRDefault="00C06401" w:rsidP="00C06401">
            <w:pPr>
              <w:numPr>
                <w:ilvl w:val="0"/>
                <w:numId w:val="2"/>
              </w:numPr>
              <w:spacing w:after="0" w:line="240" w:lineRule="auto"/>
              <w:ind w:left="68"/>
              <w:rPr>
                <w:rFonts w:ascii="Arial" w:eastAsia="Times New Roman" w:hAnsi="Arial" w:cs="Arial"/>
                <w:color w:val="808285"/>
                <w:sz w:val="16"/>
                <w:szCs w:val="16"/>
                <w:lang w:eastAsia="hr-HR"/>
              </w:rPr>
            </w:pPr>
            <w:r w:rsidRPr="00C06401">
              <w:rPr>
                <w:rFonts w:ascii="Arial" w:eastAsia="Times New Roman" w:hAnsi="Arial" w:cs="Arial"/>
                <w:color w:val="808285"/>
                <w:sz w:val="16"/>
                <w:szCs w:val="16"/>
                <w:lang w:eastAsia="hr-HR"/>
              </w:rPr>
              <w:t>Iskustvo rada u međunarodnim projektima</w:t>
            </w:r>
          </w:p>
          <w:p w:rsidR="00C06401" w:rsidRPr="00C06401" w:rsidRDefault="00C06401" w:rsidP="00C06401">
            <w:pPr>
              <w:numPr>
                <w:ilvl w:val="0"/>
                <w:numId w:val="2"/>
              </w:numPr>
              <w:spacing w:after="0" w:line="240" w:lineRule="auto"/>
              <w:ind w:left="68"/>
              <w:rPr>
                <w:rFonts w:ascii="Arial" w:eastAsia="Times New Roman" w:hAnsi="Arial" w:cs="Arial"/>
                <w:color w:val="808285"/>
                <w:sz w:val="16"/>
                <w:szCs w:val="16"/>
                <w:lang w:eastAsia="hr-HR"/>
              </w:rPr>
            </w:pPr>
            <w:r w:rsidRPr="00C06401">
              <w:rPr>
                <w:rFonts w:ascii="Arial" w:eastAsia="Times New Roman" w:hAnsi="Arial" w:cs="Arial"/>
                <w:color w:val="808285"/>
                <w:sz w:val="16"/>
                <w:szCs w:val="16"/>
                <w:lang w:eastAsia="hr-HR"/>
              </w:rPr>
              <w:t>Iskustvo u ocjenjivanju projekata</w:t>
            </w:r>
          </w:p>
          <w:p w:rsidR="00C06401" w:rsidRPr="00C06401" w:rsidRDefault="00C06401" w:rsidP="00C06401">
            <w:pPr>
              <w:spacing w:before="100" w:beforeAutospacing="1" w:after="100" w:afterAutospacing="1" w:line="240" w:lineRule="auto"/>
              <w:rPr>
                <w:rFonts w:ascii="Arial" w:eastAsia="Times New Roman" w:hAnsi="Arial" w:cs="Arial"/>
                <w:color w:val="808285"/>
                <w:sz w:val="16"/>
                <w:szCs w:val="16"/>
                <w:lang w:eastAsia="hr-HR"/>
              </w:rPr>
            </w:pPr>
            <w:r w:rsidRPr="00C06401">
              <w:rPr>
                <w:rFonts w:ascii="Arial" w:eastAsia="Times New Roman" w:hAnsi="Arial" w:cs="Arial"/>
                <w:b/>
                <w:bCs/>
                <w:color w:val="808285"/>
                <w:sz w:val="16"/>
                <w:lang w:eastAsia="hr-HR"/>
              </w:rPr>
              <w:t>Način odabira vanjskih ocjenjivača i osposobljavanje</w:t>
            </w:r>
          </w:p>
          <w:p w:rsidR="00C06401" w:rsidRPr="00C06401" w:rsidRDefault="00C06401" w:rsidP="00C06401">
            <w:pPr>
              <w:spacing w:before="100" w:beforeAutospacing="1" w:after="100" w:afterAutospacing="1" w:line="240" w:lineRule="auto"/>
              <w:rPr>
                <w:rFonts w:ascii="Arial" w:eastAsia="Times New Roman" w:hAnsi="Arial" w:cs="Arial"/>
                <w:color w:val="808285"/>
                <w:sz w:val="16"/>
                <w:szCs w:val="16"/>
                <w:lang w:eastAsia="hr-HR"/>
              </w:rPr>
            </w:pPr>
            <w:r w:rsidRPr="00C06401">
              <w:rPr>
                <w:rFonts w:ascii="Arial" w:eastAsia="Times New Roman" w:hAnsi="Arial" w:cs="Arial"/>
                <w:color w:val="808285"/>
                <w:sz w:val="16"/>
                <w:szCs w:val="16"/>
                <w:lang w:eastAsia="hr-HR"/>
              </w:rPr>
              <w:t>Sve pristigle prijave za vanjske ocjenjivače bit će podvrgnute procjeni na temelju priloženog prijavnog obrasca te životopisa.</w:t>
            </w:r>
            <w:r w:rsidRPr="00C06401">
              <w:rPr>
                <w:rFonts w:ascii="Arial" w:eastAsia="Times New Roman" w:hAnsi="Arial" w:cs="Arial"/>
                <w:color w:val="808285"/>
                <w:sz w:val="16"/>
                <w:szCs w:val="16"/>
                <w:lang w:eastAsia="hr-HR"/>
              </w:rPr>
              <w:br/>
              <w:t>Od pristiglih prijava, Agencija će odabrati kandidate s najvećim brojem bodova te ih pozvati na osposobljavanje za vanjske ocjenjivače, u organizaciji Agencije. Uz poziv na osposobljavanje za vanjske ocjenjivače, prijavljeni kandidati dobit će i primjer projektne prijave i obrasca za ocjenjivanje (Prijava i obrazac br. 1) koju su dužni samostalno ocjeniti prije dolaska na osposobljavanje, te ocjenjenu prijavu donijeti na osposobljavanje. Takva prethodno ocjenjena prijava od strane kandidata poslužit će kao temelj za program osposobljavanja.</w:t>
            </w:r>
          </w:p>
          <w:p w:rsidR="00C06401" w:rsidRPr="00C06401" w:rsidRDefault="00C06401" w:rsidP="00C06401">
            <w:pPr>
              <w:spacing w:before="100" w:beforeAutospacing="1" w:after="100" w:afterAutospacing="1" w:line="240" w:lineRule="auto"/>
              <w:rPr>
                <w:rFonts w:ascii="Arial" w:eastAsia="Times New Roman" w:hAnsi="Arial" w:cs="Arial"/>
                <w:color w:val="808285"/>
                <w:sz w:val="16"/>
                <w:szCs w:val="16"/>
                <w:lang w:eastAsia="hr-HR"/>
              </w:rPr>
            </w:pPr>
            <w:r w:rsidRPr="00C06401">
              <w:rPr>
                <w:rFonts w:ascii="Arial" w:eastAsia="Times New Roman" w:hAnsi="Arial" w:cs="Arial"/>
                <w:b/>
                <w:bCs/>
                <w:color w:val="808285"/>
                <w:sz w:val="16"/>
                <w:lang w:eastAsia="hr-HR"/>
              </w:rPr>
              <w:t>Osposobljavanje će se sastojati od sljedećih dijelova:</w:t>
            </w:r>
          </w:p>
          <w:p w:rsidR="00C06401" w:rsidRPr="00C06401" w:rsidRDefault="00C06401" w:rsidP="00C06401">
            <w:pPr>
              <w:spacing w:before="100" w:beforeAutospacing="1" w:after="100" w:afterAutospacing="1" w:line="240" w:lineRule="auto"/>
              <w:rPr>
                <w:rFonts w:ascii="Arial" w:eastAsia="Times New Roman" w:hAnsi="Arial" w:cs="Arial"/>
                <w:color w:val="808285"/>
                <w:sz w:val="16"/>
                <w:szCs w:val="16"/>
                <w:lang w:eastAsia="hr-HR"/>
              </w:rPr>
            </w:pPr>
            <w:r w:rsidRPr="00C06401">
              <w:rPr>
                <w:rFonts w:ascii="Arial" w:eastAsia="Times New Roman" w:hAnsi="Arial" w:cs="Arial"/>
                <w:color w:val="808285"/>
                <w:sz w:val="16"/>
                <w:szCs w:val="16"/>
                <w:lang w:eastAsia="hr-HR"/>
              </w:rPr>
              <w:t>1. Upoznavanje s Programom za cjeloživotno učenje i potrogramom Comenius</w:t>
            </w:r>
            <w:r w:rsidRPr="00C06401">
              <w:rPr>
                <w:rFonts w:ascii="Arial" w:eastAsia="Times New Roman" w:hAnsi="Arial" w:cs="Arial"/>
                <w:color w:val="808285"/>
                <w:sz w:val="16"/>
                <w:szCs w:val="16"/>
                <w:lang w:eastAsia="hr-HR"/>
              </w:rPr>
              <w:br/>
              <w:t>2. Analiza načina ocjenjivanja Prijave 1, komentari i savjeti</w:t>
            </w:r>
            <w:r w:rsidRPr="00C06401">
              <w:rPr>
                <w:rFonts w:ascii="Arial" w:eastAsia="Times New Roman" w:hAnsi="Arial" w:cs="Arial"/>
                <w:color w:val="808285"/>
                <w:sz w:val="16"/>
                <w:szCs w:val="16"/>
                <w:lang w:eastAsia="hr-HR"/>
              </w:rPr>
              <w:br/>
              <w:t>3. Dodjela druge projektne prijave i obrasca za ocjenjivanje (Prijava i obrazac 2)</w:t>
            </w:r>
            <w:r w:rsidRPr="00C06401">
              <w:rPr>
                <w:rFonts w:ascii="Arial" w:eastAsia="Times New Roman" w:hAnsi="Arial" w:cs="Arial"/>
                <w:color w:val="808285"/>
                <w:sz w:val="16"/>
                <w:szCs w:val="16"/>
                <w:lang w:eastAsia="hr-HR"/>
              </w:rPr>
              <w:br/>
              <w:t>4. Samostalna ocjena Prijave 2 od strane svakog pozvanog kandidata</w:t>
            </w:r>
            <w:r w:rsidRPr="00C06401">
              <w:rPr>
                <w:rFonts w:ascii="Arial" w:eastAsia="Times New Roman" w:hAnsi="Arial" w:cs="Arial"/>
                <w:color w:val="808285"/>
                <w:sz w:val="16"/>
                <w:szCs w:val="16"/>
                <w:lang w:eastAsia="hr-HR"/>
              </w:rPr>
              <w:br/>
              <w:t>5. Zajednički rad - komentari i savjeti</w:t>
            </w:r>
          </w:p>
          <w:p w:rsidR="00C06401" w:rsidRPr="00C06401" w:rsidRDefault="00C06401" w:rsidP="00C06401">
            <w:pPr>
              <w:spacing w:before="100" w:beforeAutospacing="1" w:after="100" w:afterAutospacing="1" w:line="240" w:lineRule="auto"/>
              <w:rPr>
                <w:rFonts w:ascii="Arial" w:eastAsia="Times New Roman" w:hAnsi="Arial" w:cs="Arial"/>
                <w:color w:val="808285"/>
                <w:sz w:val="16"/>
                <w:szCs w:val="16"/>
                <w:lang w:eastAsia="hr-HR"/>
              </w:rPr>
            </w:pPr>
            <w:r w:rsidRPr="00C06401">
              <w:rPr>
                <w:rFonts w:ascii="Arial" w:eastAsia="Times New Roman" w:hAnsi="Arial" w:cs="Arial"/>
                <w:color w:val="808285"/>
                <w:sz w:val="16"/>
                <w:szCs w:val="16"/>
                <w:lang w:eastAsia="hr-HR"/>
              </w:rPr>
              <w:t>Svi kandidati pozvani na osposobljavanje činit će dio baze vanjskih ocjenjivača.</w:t>
            </w:r>
            <w:r w:rsidRPr="00C06401">
              <w:rPr>
                <w:rFonts w:ascii="Arial" w:eastAsia="Times New Roman" w:hAnsi="Arial" w:cs="Arial"/>
                <w:color w:val="808285"/>
                <w:sz w:val="16"/>
                <w:szCs w:val="16"/>
                <w:lang w:eastAsia="hr-HR"/>
              </w:rPr>
              <w:br/>
              <w:t>Nakon završenog osposobljavanja, Agencija će procijeniti rad kandidata tijekom osposobljavanja, te na temelju pristigle prijave kandidata, životopisa i rada tijekom osposobljavanja sastaviti rang listu na temelju koje će angažirati potrebne vanjske ocjenjivače.</w:t>
            </w:r>
            <w:r w:rsidRPr="00C06401">
              <w:rPr>
                <w:rFonts w:ascii="Arial" w:eastAsia="Times New Roman" w:hAnsi="Arial" w:cs="Arial"/>
                <w:color w:val="808285"/>
                <w:sz w:val="16"/>
                <w:szCs w:val="16"/>
                <w:lang w:eastAsia="hr-HR"/>
              </w:rPr>
              <w:br/>
            </w:r>
            <w:r w:rsidRPr="00C06401">
              <w:rPr>
                <w:rFonts w:ascii="Arial" w:eastAsia="Times New Roman" w:hAnsi="Arial" w:cs="Arial"/>
                <w:color w:val="808285"/>
                <w:sz w:val="16"/>
                <w:szCs w:val="16"/>
                <w:lang w:eastAsia="hr-HR"/>
              </w:rPr>
              <w:lastRenderedPageBreak/>
              <w:t>Trajanje osposobljavanja jest jedan dan. Agencija snosi troškove dolaska na trening i troškove dnevnica za kandidate.</w:t>
            </w:r>
            <w:r w:rsidRPr="00C06401">
              <w:rPr>
                <w:rFonts w:ascii="Arial" w:eastAsia="Times New Roman" w:hAnsi="Arial" w:cs="Arial"/>
                <w:color w:val="808285"/>
                <w:sz w:val="16"/>
                <w:szCs w:val="16"/>
                <w:lang w:eastAsia="hr-HR"/>
              </w:rPr>
              <w:br/>
              <w:t>Predviđeno razdoblje u kojem će se organizirati osposobljavanje vanjskih ocjenjivača za projektne prijave za bilateralna partnerstva jest kraj veljače ili prva polovica ožujka 2010. godine. Usavršavanje za ocjenjivanje projektnih prijava iz ostalih Comenius aktivnosti bit će organizirano prema potrebi o čemu će Agencija kandidate na vrijeme obavijestiti.</w:t>
            </w:r>
            <w:r w:rsidRPr="00C06401">
              <w:rPr>
                <w:rFonts w:ascii="Arial" w:eastAsia="Times New Roman" w:hAnsi="Arial" w:cs="Arial"/>
                <w:color w:val="808285"/>
                <w:sz w:val="16"/>
                <w:szCs w:val="16"/>
                <w:lang w:eastAsia="hr-HR"/>
              </w:rPr>
              <w:br/>
              <w:t>Agencija zadržava pravo kontaktiranja i angažiranja vanjskih ocjenjivača iz baze i tijekom narednih godina provođenja Programa.</w:t>
            </w:r>
          </w:p>
          <w:p w:rsidR="00C06401" w:rsidRPr="00C06401" w:rsidRDefault="00C06401" w:rsidP="00C06401">
            <w:pPr>
              <w:spacing w:before="100" w:beforeAutospacing="1" w:after="100" w:afterAutospacing="1" w:line="240" w:lineRule="auto"/>
              <w:rPr>
                <w:rFonts w:ascii="Arial" w:eastAsia="Times New Roman" w:hAnsi="Arial" w:cs="Arial"/>
                <w:color w:val="808285"/>
                <w:sz w:val="16"/>
                <w:szCs w:val="16"/>
                <w:lang w:eastAsia="hr-HR"/>
              </w:rPr>
            </w:pPr>
            <w:r w:rsidRPr="00C06401">
              <w:rPr>
                <w:rFonts w:ascii="Arial" w:eastAsia="Times New Roman" w:hAnsi="Arial" w:cs="Arial"/>
                <w:b/>
                <w:bCs/>
                <w:color w:val="808285"/>
                <w:sz w:val="16"/>
                <w:lang w:eastAsia="hr-HR"/>
              </w:rPr>
              <w:t>Angažman vanjskih ocjenjivača</w:t>
            </w:r>
          </w:p>
          <w:p w:rsidR="00C06401" w:rsidRPr="00C06401" w:rsidRDefault="00C06401" w:rsidP="00C06401">
            <w:pPr>
              <w:spacing w:before="100" w:beforeAutospacing="1" w:after="100" w:afterAutospacing="1" w:line="240" w:lineRule="auto"/>
              <w:rPr>
                <w:rFonts w:ascii="Arial" w:eastAsia="Times New Roman" w:hAnsi="Arial" w:cs="Arial"/>
                <w:color w:val="808285"/>
                <w:sz w:val="16"/>
                <w:szCs w:val="16"/>
                <w:lang w:eastAsia="hr-HR"/>
              </w:rPr>
            </w:pPr>
            <w:r w:rsidRPr="00C06401">
              <w:rPr>
                <w:rFonts w:ascii="Arial" w:eastAsia="Times New Roman" w:hAnsi="Arial" w:cs="Arial"/>
                <w:color w:val="808285"/>
                <w:sz w:val="16"/>
                <w:szCs w:val="16"/>
                <w:lang w:eastAsia="hr-HR"/>
              </w:rPr>
              <w:t>Nakon sastavljanja rang liste vanjskih ocjenjivača, te sukladno svojim potrebama i broju pristiglih prijava na natječaj za Program za cjeloživotno učenje, potprogram Comenius, Agencija će podijeliti pristigle projektne prijave odabranim vanjskim ocjenjivačima. Vanjskim ocjenjivači imaju obavezu ocijeniti  projektne prijave unutar vremenskog razdoblja dogovorenog s Agencijom, a koji se kreće od 2 do 3 tjedna, ovisno o broju pristiglih prijava.</w:t>
            </w:r>
          </w:p>
          <w:p w:rsidR="00C06401" w:rsidRPr="00C06401" w:rsidRDefault="00C06401" w:rsidP="00C06401">
            <w:pPr>
              <w:spacing w:before="100" w:beforeAutospacing="1" w:after="100" w:afterAutospacing="1" w:line="240" w:lineRule="auto"/>
              <w:rPr>
                <w:rFonts w:ascii="Arial" w:eastAsia="Times New Roman" w:hAnsi="Arial" w:cs="Arial"/>
                <w:color w:val="808285"/>
                <w:sz w:val="16"/>
                <w:szCs w:val="16"/>
                <w:lang w:eastAsia="hr-HR"/>
              </w:rPr>
            </w:pPr>
            <w:r w:rsidRPr="00C06401">
              <w:rPr>
                <w:rFonts w:ascii="Arial" w:eastAsia="Times New Roman" w:hAnsi="Arial" w:cs="Arial"/>
                <w:color w:val="808285"/>
                <w:sz w:val="16"/>
                <w:szCs w:val="16"/>
                <w:lang w:eastAsia="hr-HR"/>
              </w:rPr>
              <w:t>Za ocjenjivanje projektnih prijava koristit će se standardizirani obrasci Agencije za mobilnost i programe Europske unije.</w:t>
            </w:r>
          </w:p>
          <w:p w:rsidR="00C06401" w:rsidRPr="00C06401" w:rsidRDefault="00C06401" w:rsidP="00C06401">
            <w:pPr>
              <w:spacing w:before="100" w:beforeAutospacing="1" w:after="100" w:afterAutospacing="1" w:line="240" w:lineRule="auto"/>
              <w:rPr>
                <w:rFonts w:ascii="Arial" w:eastAsia="Times New Roman" w:hAnsi="Arial" w:cs="Arial"/>
                <w:color w:val="808285"/>
                <w:sz w:val="16"/>
                <w:szCs w:val="16"/>
                <w:lang w:eastAsia="hr-HR"/>
              </w:rPr>
            </w:pPr>
            <w:r w:rsidRPr="00C06401">
              <w:rPr>
                <w:rFonts w:ascii="Arial" w:eastAsia="Times New Roman" w:hAnsi="Arial" w:cs="Arial"/>
                <w:color w:val="808285"/>
                <w:sz w:val="16"/>
                <w:szCs w:val="16"/>
                <w:lang w:eastAsia="hr-HR"/>
              </w:rPr>
              <w:t>Svaki odabrani vanjski stručnjak potpisat će ugovor s Agencijom za mobilnost i program Europske unije kojim se obvezuje da će evaluirati sve projekte koji su mu/joj dodijeljeni u zadanom vremenskom razdoblju. Nadalje, vanjski stručnjak potpisat će i izjavu kojom izjavljuje da ni na kakav način nije u sukobu interesa u odnosu na projekte koje je ocijenio. Ugovorom će se također definirati naknada za ocjenjivanje projektnih prijava, u iznosu od 250 kuna po prijavi.</w:t>
            </w:r>
          </w:p>
          <w:p w:rsidR="00C06401" w:rsidRPr="00C06401" w:rsidRDefault="00C06401" w:rsidP="00C06401">
            <w:pPr>
              <w:spacing w:before="100" w:beforeAutospacing="1" w:after="100" w:afterAutospacing="1" w:line="240" w:lineRule="auto"/>
              <w:rPr>
                <w:rFonts w:ascii="Arial" w:eastAsia="Times New Roman" w:hAnsi="Arial" w:cs="Arial"/>
                <w:color w:val="808285"/>
                <w:sz w:val="16"/>
                <w:szCs w:val="16"/>
                <w:lang w:eastAsia="hr-HR"/>
              </w:rPr>
            </w:pPr>
            <w:r w:rsidRPr="00C06401">
              <w:rPr>
                <w:rFonts w:ascii="Arial" w:eastAsia="Times New Roman" w:hAnsi="Arial" w:cs="Arial"/>
                <w:b/>
                <w:bCs/>
                <w:color w:val="808285"/>
                <w:sz w:val="16"/>
                <w:lang w:eastAsia="hr-HR"/>
              </w:rPr>
              <w:t>Kako se prijaviti?</w:t>
            </w:r>
            <w:r w:rsidRPr="00C06401">
              <w:rPr>
                <w:rFonts w:ascii="Arial" w:eastAsia="Times New Roman" w:hAnsi="Arial" w:cs="Arial"/>
                <w:color w:val="808285"/>
                <w:sz w:val="16"/>
                <w:szCs w:val="16"/>
                <w:lang w:eastAsia="hr-HR"/>
              </w:rPr>
              <w:br/>
              <w:t>Prijave se šalju na adresu:</w:t>
            </w:r>
          </w:p>
          <w:p w:rsidR="00C06401" w:rsidRPr="00C06401" w:rsidRDefault="00C06401" w:rsidP="00C06401">
            <w:pPr>
              <w:spacing w:before="100" w:beforeAutospacing="1" w:after="100" w:afterAutospacing="1" w:line="240" w:lineRule="auto"/>
              <w:rPr>
                <w:rFonts w:ascii="Arial" w:eastAsia="Times New Roman" w:hAnsi="Arial" w:cs="Arial"/>
                <w:color w:val="808285"/>
                <w:sz w:val="16"/>
                <w:szCs w:val="16"/>
                <w:lang w:eastAsia="hr-HR"/>
              </w:rPr>
            </w:pPr>
            <w:r w:rsidRPr="00C06401">
              <w:rPr>
                <w:rFonts w:ascii="Arial" w:eastAsia="Times New Roman" w:hAnsi="Arial" w:cs="Arial"/>
                <w:b/>
                <w:bCs/>
                <w:color w:val="808285"/>
                <w:sz w:val="16"/>
                <w:lang w:eastAsia="hr-HR"/>
              </w:rPr>
              <w:t>Agencija za mobilnost i programe EU</w:t>
            </w:r>
            <w:r w:rsidRPr="00C06401">
              <w:rPr>
                <w:rFonts w:ascii="Arial" w:eastAsia="Times New Roman" w:hAnsi="Arial" w:cs="Arial"/>
                <w:b/>
                <w:bCs/>
                <w:color w:val="808285"/>
                <w:sz w:val="16"/>
                <w:szCs w:val="16"/>
                <w:lang w:eastAsia="hr-HR"/>
              </w:rPr>
              <w:br/>
            </w:r>
            <w:r w:rsidRPr="00C06401">
              <w:rPr>
                <w:rFonts w:ascii="Arial" w:eastAsia="Times New Roman" w:hAnsi="Arial" w:cs="Arial"/>
                <w:b/>
                <w:bCs/>
                <w:color w:val="808285"/>
                <w:sz w:val="16"/>
                <w:lang w:eastAsia="hr-HR"/>
              </w:rPr>
              <w:t>Gajeva 22</w:t>
            </w:r>
            <w:r w:rsidRPr="00C06401">
              <w:rPr>
                <w:rFonts w:ascii="Arial" w:eastAsia="Times New Roman" w:hAnsi="Arial" w:cs="Arial"/>
                <w:b/>
                <w:bCs/>
                <w:color w:val="808285"/>
                <w:sz w:val="16"/>
                <w:szCs w:val="16"/>
                <w:lang w:eastAsia="hr-HR"/>
              </w:rPr>
              <w:br/>
            </w:r>
            <w:r w:rsidRPr="00C06401">
              <w:rPr>
                <w:rFonts w:ascii="Arial" w:eastAsia="Times New Roman" w:hAnsi="Arial" w:cs="Arial"/>
                <w:b/>
                <w:bCs/>
                <w:color w:val="808285"/>
                <w:sz w:val="16"/>
                <w:lang w:eastAsia="hr-HR"/>
              </w:rPr>
              <w:t>10 000 Zagreb</w:t>
            </w:r>
          </w:p>
          <w:p w:rsidR="00C06401" w:rsidRPr="00C06401" w:rsidRDefault="00C06401" w:rsidP="00C06401">
            <w:pPr>
              <w:spacing w:before="100" w:beforeAutospacing="1" w:after="100" w:afterAutospacing="1" w:line="240" w:lineRule="auto"/>
              <w:rPr>
                <w:rFonts w:ascii="Arial" w:eastAsia="Times New Roman" w:hAnsi="Arial" w:cs="Arial"/>
                <w:color w:val="808285"/>
                <w:sz w:val="16"/>
                <w:szCs w:val="16"/>
                <w:lang w:eastAsia="hr-HR"/>
              </w:rPr>
            </w:pPr>
            <w:r w:rsidRPr="00C06401">
              <w:rPr>
                <w:rFonts w:ascii="Arial" w:eastAsia="Times New Roman" w:hAnsi="Arial" w:cs="Arial"/>
                <w:color w:val="808285"/>
                <w:sz w:val="16"/>
                <w:szCs w:val="16"/>
                <w:lang w:eastAsia="hr-HR"/>
              </w:rPr>
              <w:t xml:space="preserve">Za Poziv na natječaj za vanjske ocjenjivače - Comenius potprogram </w:t>
            </w:r>
            <w:r w:rsidRPr="00C06401">
              <w:rPr>
                <w:rFonts w:ascii="Arial" w:eastAsia="Times New Roman" w:hAnsi="Arial" w:cs="Arial"/>
                <w:color w:val="808285"/>
                <w:sz w:val="16"/>
                <w:szCs w:val="16"/>
                <w:lang w:eastAsia="hr-HR"/>
              </w:rPr>
              <w:br/>
              <w:t>Prijave moraju biti poslane do 12. veljače 2010. godine. Sve prijave moraju biti popunjene elektronski i potpisane.</w:t>
            </w:r>
            <w:r w:rsidRPr="00C06401">
              <w:rPr>
                <w:rFonts w:ascii="Arial" w:eastAsia="Times New Roman" w:hAnsi="Arial" w:cs="Arial"/>
                <w:color w:val="808285"/>
                <w:sz w:val="16"/>
                <w:szCs w:val="16"/>
                <w:lang w:eastAsia="hr-HR"/>
              </w:rPr>
              <w:br/>
              <w:t>Potrebno je dostaviti</w:t>
            </w:r>
          </w:p>
          <w:p w:rsidR="00C06401" w:rsidRPr="00C06401" w:rsidRDefault="00C06401" w:rsidP="00C06401">
            <w:pPr>
              <w:numPr>
                <w:ilvl w:val="0"/>
                <w:numId w:val="3"/>
              </w:numPr>
              <w:spacing w:after="0" w:line="240" w:lineRule="auto"/>
              <w:ind w:left="68"/>
              <w:rPr>
                <w:rFonts w:ascii="Arial" w:eastAsia="Times New Roman" w:hAnsi="Arial" w:cs="Arial"/>
                <w:color w:val="808285"/>
                <w:sz w:val="16"/>
                <w:szCs w:val="16"/>
                <w:lang w:eastAsia="hr-HR"/>
              </w:rPr>
            </w:pPr>
            <w:r w:rsidRPr="00C06401">
              <w:rPr>
                <w:rFonts w:ascii="Arial" w:eastAsia="Times New Roman" w:hAnsi="Arial" w:cs="Arial"/>
                <w:b/>
                <w:bCs/>
                <w:color w:val="808285"/>
                <w:sz w:val="16"/>
                <w:lang w:eastAsia="hr-HR"/>
              </w:rPr>
              <w:t xml:space="preserve">Popunjeni </w:t>
            </w:r>
            <w:hyperlink r:id="rId5" w:history="1">
              <w:r w:rsidRPr="00C06401">
                <w:rPr>
                  <w:rFonts w:ascii="Arial" w:eastAsia="Times New Roman" w:hAnsi="Arial" w:cs="Arial"/>
                  <w:b/>
                  <w:bCs/>
                  <w:color w:val="2FB2CD"/>
                  <w:sz w:val="16"/>
                  <w:u w:val="single"/>
                  <w:lang w:eastAsia="hr-HR"/>
                </w:rPr>
                <w:t>prijavni obrazac</w:t>
              </w:r>
            </w:hyperlink>
          </w:p>
          <w:p w:rsidR="00C06401" w:rsidRPr="00C06401" w:rsidRDefault="00C06401" w:rsidP="00C06401">
            <w:pPr>
              <w:numPr>
                <w:ilvl w:val="0"/>
                <w:numId w:val="3"/>
              </w:numPr>
              <w:spacing w:after="0" w:line="240" w:lineRule="auto"/>
              <w:ind w:left="68"/>
              <w:rPr>
                <w:rFonts w:ascii="Arial" w:eastAsia="Times New Roman" w:hAnsi="Arial" w:cs="Arial"/>
                <w:color w:val="808285"/>
                <w:sz w:val="16"/>
                <w:szCs w:val="16"/>
                <w:lang w:eastAsia="hr-HR"/>
              </w:rPr>
            </w:pPr>
            <w:r w:rsidRPr="00C06401">
              <w:rPr>
                <w:rFonts w:ascii="Arial" w:eastAsia="Times New Roman" w:hAnsi="Arial" w:cs="Arial"/>
                <w:b/>
                <w:bCs/>
                <w:color w:val="808285"/>
                <w:sz w:val="16"/>
                <w:lang w:eastAsia="hr-HR"/>
              </w:rPr>
              <w:t>Životopis u Europass formatu na engleskom jeziku (uz obvezne kontakte osoba koje mogu dati preporuku)</w:t>
            </w:r>
          </w:p>
        </w:tc>
      </w:tr>
    </w:tbl>
    <w:p w:rsidR="007D2072" w:rsidRDefault="007D2072" w:rsidP="00C06401"/>
    <w:sectPr w:rsidR="007D2072" w:rsidSect="007D20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1C3C"/>
    <w:multiLevelType w:val="multilevel"/>
    <w:tmpl w:val="B3BC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A65E3"/>
    <w:multiLevelType w:val="multilevel"/>
    <w:tmpl w:val="24B0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F0E85"/>
    <w:multiLevelType w:val="multilevel"/>
    <w:tmpl w:val="887E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C06401"/>
    <w:rsid w:val="007D2072"/>
    <w:rsid w:val="00C0640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0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640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C06401"/>
    <w:rPr>
      <w:b/>
      <w:bCs/>
    </w:rPr>
  </w:style>
</w:styles>
</file>

<file path=word/webSettings.xml><?xml version="1.0" encoding="utf-8"?>
<w:webSettings xmlns:r="http://schemas.openxmlformats.org/officeDocument/2006/relationships" xmlns:w="http://schemas.openxmlformats.org/wordprocessingml/2006/main">
  <w:divs>
    <w:div w:id="736973534">
      <w:bodyDiv w:val="1"/>
      <w:marLeft w:val="0"/>
      <w:marRight w:val="0"/>
      <w:marTop w:val="0"/>
      <w:marBottom w:val="0"/>
      <w:divBdr>
        <w:top w:val="none" w:sz="0" w:space="0" w:color="auto"/>
        <w:left w:val="none" w:sz="0" w:space="0" w:color="auto"/>
        <w:bottom w:val="none" w:sz="0" w:space="0" w:color="auto"/>
        <w:right w:val="none" w:sz="0" w:space="0" w:color="auto"/>
      </w:divBdr>
      <w:divsChild>
        <w:div w:id="51727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bilnost.hr/prilozi/05_1265039281_final_Application_form_expert_Comenius_2010.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5265</Characters>
  <Application>Microsoft Office Word</Application>
  <DocSecurity>0</DocSecurity>
  <Lines>43</Lines>
  <Paragraphs>12</Paragraphs>
  <ScaleCrop>false</ScaleCrop>
  <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mmusnjak</dc:creator>
  <cp:lastModifiedBy>mmusnjak</cp:lastModifiedBy>
  <cp:revision>1</cp:revision>
  <dcterms:created xsi:type="dcterms:W3CDTF">2010-02-05T11:50:00Z</dcterms:created>
  <dcterms:modified xsi:type="dcterms:W3CDTF">2010-02-05T11:51:00Z</dcterms:modified>
</cp:coreProperties>
</file>